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05F" w:rsidRDefault="0076005F" w:rsidP="00371A8B">
      <w:pPr>
        <w:jc w:val="center"/>
        <w:rPr>
          <w:rFonts w:ascii="Calibri" w:hAnsi="Calibri" w:cs="Calibri"/>
          <w:b/>
        </w:rPr>
      </w:pPr>
    </w:p>
    <w:p w:rsidR="00F7632E" w:rsidRPr="00F7632E" w:rsidRDefault="00D10B7D" w:rsidP="00371A8B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UPOZORNĚNÍ K VÝSLUHOVÝM NÁLEŽITOSTEM PODLE ZÁKONA O VOJÁCÍCH Z POVOLÁNÍ</w:t>
      </w:r>
    </w:p>
    <w:p w:rsidR="00F7632E" w:rsidRDefault="00F7632E" w:rsidP="00371A8B">
      <w:pPr>
        <w:jc w:val="center"/>
        <w:rPr>
          <w:rFonts w:ascii="Calibri" w:hAnsi="Calibri" w:cs="Calibri"/>
          <w:b/>
          <w:u w:val="single"/>
        </w:rPr>
      </w:pPr>
    </w:p>
    <w:p w:rsidR="00284DAB" w:rsidRPr="00830EC7" w:rsidRDefault="00284DAB" w:rsidP="00284DAB">
      <w:pPr>
        <w:jc w:val="center"/>
        <w:rPr>
          <w:rFonts w:ascii="Calibri" w:hAnsi="Calibri" w:cs="Calibri"/>
          <w:b/>
          <w:u w:val="single"/>
        </w:rPr>
      </w:pPr>
      <w:r w:rsidRPr="00830EC7">
        <w:rPr>
          <w:rFonts w:ascii="Calibri" w:hAnsi="Calibri" w:cs="Calibri"/>
          <w:b/>
          <w:u w:val="single"/>
        </w:rPr>
        <w:t>Výsluhový příspěvek</w:t>
      </w:r>
    </w:p>
    <w:p w:rsidR="00391D04" w:rsidRDefault="00284DAB" w:rsidP="00391D04">
      <w:pPr>
        <w:jc w:val="both"/>
        <w:rPr>
          <w:rFonts w:ascii="Calibri" w:hAnsi="Calibri" w:cs="Calibri"/>
        </w:rPr>
      </w:pPr>
      <w:r w:rsidRPr="00284DAB">
        <w:rPr>
          <w:rFonts w:ascii="Calibri" w:hAnsi="Calibri" w:cs="Calibri"/>
        </w:rPr>
        <w:t>Voják, jehož služební poměr zanikl podle § 18 a), h) a i) nebo podle § 19 odst. 1 písm. a), b),</w:t>
      </w:r>
      <w:r w:rsidR="00D4794D">
        <w:rPr>
          <w:rFonts w:ascii="Calibri" w:hAnsi="Calibri" w:cs="Calibri"/>
        </w:rPr>
        <w:t xml:space="preserve"> </w:t>
      </w:r>
      <w:r w:rsidRPr="00284DAB">
        <w:rPr>
          <w:rFonts w:ascii="Calibri" w:hAnsi="Calibri" w:cs="Calibri"/>
        </w:rPr>
        <w:t>c),</w:t>
      </w:r>
      <w:r w:rsidR="00D4794D">
        <w:rPr>
          <w:rFonts w:ascii="Calibri" w:hAnsi="Calibri" w:cs="Calibri"/>
        </w:rPr>
        <w:t xml:space="preserve"> </w:t>
      </w:r>
      <w:r w:rsidRPr="00284DAB">
        <w:rPr>
          <w:rFonts w:ascii="Calibri" w:hAnsi="Calibri" w:cs="Calibri"/>
        </w:rPr>
        <w:t>e),</w:t>
      </w:r>
      <w:r w:rsidR="00D4794D">
        <w:rPr>
          <w:rFonts w:ascii="Calibri" w:hAnsi="Calibri" w:cs="Calibri"/>
        </w:rPr>
        <w:t xml:space="preserve"> </w:t>
      </w:r>
      <w:r w:rsidRPr="00284DAB">
        <w:rPr>
          <w:rFonts w:ascii="Calibri" w:hAnsi="Calibri" w:cs="Calibri"/>
        </w:rPr>
        <w:t xml:space="preserve">g) až l), n) a o) </w:t>
      </w:r>
      <w:r w:rsidR="00272C20">
        <w:rPr>
          <w:rFonts w:ascii="Calibri" w:hAnsi="Calibri" w:cs="Calibri"/>
        </w:rPr>
        <w:t>zákona</w:t>
      </w:r>
      <w:r w:rsidR="00472D7B">
        <w:rPr>
          <w:rFonts w:ascii="Calibri" w:hAnsi="Calibri" w:cs="Calibri"/>
        </w:rPr>
        <w:t xml:space="preserve"> č. 221/1999 Sb., </w:t>
      </w:r>
      <w:r w:rsidRPr="00284DAB">
        <w:rPr>
          <w:rFonts w:ascii="Calibri" w:hAnsi="Calibri" w:cs="Calibri"/>
        </w:rPr>
        <w:t xml:space="preserve">má nárok na výsluhový příspěvek, jestliže </w:t>
      </w:r>
      <w:r w:rsidRPr="00830EC7">
        <w:rPr>
          <w:rFonts w:ascii="Calibri" w:hAnsi="Calibri" w:cs="Calibri"/>
          <w:b/>
        </w:rPr>
        <w:t>jeho služební poměr trval</w:t>
      </w:r>
      <w:r w:rsidRPr="00284DAB">
        <w:rPr>
          <w:rFonts w:ascii="Calibri" w:hAnsi="Calibri" w:cs="Calibri"/>
        </w:rPr>
        <w:t xml:space="preserve"> </w:t>
      </w:r>
      <w:r w:rsidRPr="00830EC7">
        <w:rPr>
          <w:rFonts w:ascii="Calibri" w:hAnsi="Calibri" w:cs="Calibri"/>
          <w:b/>
        </w:rPr>
        <w:t>alespoň po dobu 15 let.</w:t>
      </w:r>
      <w:r w:rsidR="00391D04">
        <w:rPr>
          <w:rFonts w:ascii="Calibri" w:hAnsi="Calibri" w:cs="Calibri"/>
          <w:b/>
        </w:rPr>
        <w:t xml:space="preserve"> </w:t>
      </w:r>
      <w:r w:rsidR="00391D04">
        <w:rPr>
          <w:rFonts w:ascii="Calibri" w:hAnsi="Calibri" w:cs="Calibri"/>
        </w:rPr>
        <w:t xml:space="preserve">Hodnotí se celé ukončené roky, nikoli ukončené kalendářní roky. </w:t>
      </w:r>
    </w:p>
    <w:p w:rsidR="00284DAB" w:rsidRPr="00391D04" w:rsidRDefault="00284DAB" w:rsidP="00284DAB">
      <w:pPr>
        <w:jc w:val="both"/>
        <w:rPr>
          <w:rFonts w:ascii="Calibri" w:hAnsi="Calibri" w:cs="Calibri"/>
        </w:rPr>
      </w:pPr>
    </w:p>
    <w:p w:rsidR="00830EC7" w:rsidRPr="00C5603A" w:rsidRDefault="00830EC7" w:rsidP="008807F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Řízení o přiznání výsluhového příspěvku a odchodného se zahajuje </w:t>
      </w:r>
      <w:r w:rsidRPr="002E4A4A">
        <w:rPr>
          <w:rFonts w:ascii="Calibri" w:hAnsi="Calibri" w:cs="Calibri"/>
          <w:b/>
        </w:rPr>
        <w:t>na základě žádosti vojáka</w:t>
      </w:r>
      <w:r>
        <w:rPr>
          <w:rFonts w:ascii="Calibri" w:hAnsi="Calibri" w:cs="Calibri"/>
        </w:rPr>
        <w:t>.</w:t>
      </w:r>
      <w:r w:rsidR="002E4A4A">
        <w:rPr>
          <w:rFonts w:ascii="Calibri" w:hAnsi="Calibri" w:cs="Calibri"/>
        </w:rPr>
        <w:t xml:space="preserve"> O přiznání výsluhového příspěvku a odchodného je nutné si písemně požádat na předepsaném tiskopise. Tiskopisy lze nalézt na elektronické úřední desce OSZ MO </w:t>
      </w:r>
      <w:r w:rsidR="00A7106E">
        <w:rPr>
          <w:rFonts w:ascii="Calibri" w:hAnsi="Calibri" w:cs="Calibri"/>
        </w:rPr>
        <w:t>(osz.</w:t>
      </w:r>
      <w:r w:rsidR="00862753">
        <w:rPr>
          <w:rFonts w:ascii="Calibri" w:hAnsi="Calibri" w:cs="Calibri"/>
        </w:rPr>
        <w:t>mo.gov</w:t>
      </w:r>
      <w:r w:rsidR="00A7106E">
        <w:rPr>
          <w:rFonts w:ascii="Calibri" w:hAnsi="Calibri" w:cs="Calibri"/>
        </w:rPr>
        <w:t xml:space="preserve">.cz) </w:t>
      </w:r>
      <w:r w:rsidR="002E4A4A">
        <w:rPr>
          <w:rFonts w:ascii="Calibri" w:hAnsi="Calibri" w:cs="Calibri"/>
        </w:rPr>
        <w:t xml:space="preserve">v sekci žádosti. </w:t>
      </w:r>
      <w:r w:rsidR="00C5603A">
        <w:rPr>
          <w:rFonts w:ascii="Calibri" w:hAnsi="Calibri" w:cs="Calibri"/>
        </w:rPr>
        <w:t>V</w:t>
      </w:r>
      <w:r w:rsidR="002E4A4A">
        <w:rPr>
          <w:rFonts w:ascii="Calibri" w:hAnsi="Calibri" w:cs="Calibri"/>
        </w:rPr>
        <w:t xml:space="preserve"> případě zániku služebního poměru podle § 18 a) nebo § 19 odst. 1 k) </w:t>
      </w:r>
      <w:r w:rsidR="00C5603A">
        <w:rPr>
          <w:rFonts w:ascii="Calibri" w:hAnsi="Calibri" w:cs="Calibri"/>
        </w:rPr>
        <w:t xml:space="preserve">je nutné vyplnit čestné </w:t>
      </w:r>
      <w:r w:rsidR="00A5311F">
        <w:rPr>
          <w:rFonts w:ascii="Calibri" w:hAnsi="Calibri" w:cs="Calibri"/>
        </w:rPr>
        <w:t>prohlášení, že není proti vojákovi ke dni ukončení služebního poměru vedeno trestní řízení pro úmyslný trestný čin. Je-li proti vojákovi trestní řízení vedeno, zahajuje se řízení o</w:t>
      </w:r>
      <w:r w:rsidR="00963226">
        <w:rPr>
          <w:rFonts w:ascii="Calibri" w:hAnsi="Calibri" w:cs="Calibri"/>
        </w:rPr>
        <w:t> </w:t>
      </w:r>
      <w:r w:rsidR="00A5311F">
        <w:rPr>
          <w:rFonts w:ascii="Calibri" w:hAnsi="Calibri" w:cs="Calibri"/>
        </w:rPr>
        <w:t xml:space="preserve">žádosti dnem doručení dokladu o jeho pravomocném ukončení. </w:t>
      </w:r>
      <w:r w:rsidR="00C5603A" w:rsidRPr="00C5603A">
        <w:rPr>
          <w:rFonts w:ascii="Calibri" w:hAnsi="Calibri" w:cs="Calibri"/>
          <w:b/>
        </w:rPr>
        <w:t xml:space="preserve">Čestné prohlášení </w:t>
      </w:r>
      <w:r w:rsidR="009B6A05">
        <w:rPr>
          <w:rFonts w:ascii="Calibri" w:hAnsi="Calibri" w:cs="Calibri"/>
          <w:b/>
        </w:rPr>
        <w:t>vyplňte</w:t>
      </w:r>
      <w:r w:rsidR="00C5603A" w:rsidRPr="00C5603A">
        <w:rPr>
          <w:rFonts w:ascii="Calibri" w:hAnsi="Calibri" w:cs="Calibri"/>
          <w:b/>
        </w:rPr>
        <w:t xml:space="preserve"> nejdříve v den ukončení služebního poměru. </w:t>
      </w:r>
    </w:p>
    <w:p w:rsidR="00C5603A" w:rsidRDefault="00C5603A" w:rsidP="00C5603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Žádost lze podat nejdříve 4 měsíce před požadovaným dnem přiznání výsluhového příspěvku a odchodného. Žádost lze podat i zpětně, doplatek lze provést pouze 5 let zpětně od data podání žádosti. </w:t>
      </w:r>
    </w:p>
    <w:p w:rsidR="00C5603A" w:rsidRDefault="00C5603A" w:rsidP="00C5603A">
      <w:pPr>
        <w:jc w:val="both"/>
        <w:rPr>
          <w:rFonts w:ascii="Calibri" w:hAnsi="Calibri" w:cs="Calibri"/>
        </w:rPr>
      </w:pPr>
    </w:p>
    <w:p w:rsidR="00E33F6E" w:rsidRDefault="00E33F6E" w:rsidP="008807F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Při souběhu nároku na výsluhový příspěvek s nárokem na starobní nebo invalidní důchod se výsluhový příspěvek vyplácí pouze tehdy, je-li vyšší než starobní nebo invalidní důchod, a to ve výši rozdílu mezi výsluhovým příspěvkem a důchodem. </w:t>
      </w:r>
      <w:r w:rsidR="00A97CC4">
        <w:rPr>
          <w:rFonts w:ascii="Calibri" w:hAnsi="Calibri" w:cs="Calibri"/>
        </w:rPr>
        <w:t>Rozdíl se zjišťuje ke dni přiznání důchodu</w:t>
      </w:r>
      <w:r w:rsidR="00391D04">
        <w:rPr>
          <w:rFonts w:ascii="Calibri" w:hAnsi="Calibri" w:cs="Calibri"/>
        </w:rPr>
        <w:t>, ke dni uvolnění výplaty důchodu</w:t>
      </w:r>
      <w:r w:rsidR="00A97CC4">
        <w:rPr>
          <w:rFonts w:ascii="Calibri" w:hAnsi="Calibri" w:cs="Calibri"/>
        </w:rPr>
        <w:t xml:space="preserve"> nebo ke dni zvýšení důchodu, a to nejdéle do dne, kdy uplynuly 2 roky od vzniku nároku na starobní důchod. Po uplynutí této doby náleží výsluhový příspěvek ve výši rozdílu mezi náležejícím starobním důchodem a výsluhovým příspěvkem k tomuto dni a nadále se samostatně zvyšuje (valorizuje) bez přihlédnutí k výši důchodu. Nepožádá-li příjemce nejpozději do 2 let po dosažení nároku na starobní důchod, výplata výsluhového příspěvku se zastaví. </w:t>
      </w:r>
      <w:r w:rsidR="00A615C7">
        <w:rPr>
          <w:rFonts w:ascii="Calibri" w:hAnsi="Calibri" w:cs="Calibri"/>
        </w:rPr>
        <w:t xml:space="preserve">Před uplynutím 2 let od vzniku nároku na starobní důchod bude poživatel výsluhového příspěvku </w:t>
      </w:r>
      <w:r w:rsidR="00D4794D">
        <w:rPr>
          <w:rFonts w:ascii="Calibri" w:hAnsi="Calibri" w:cs="Calibri"/>
        </w:rPr>
        <w:t>OSZ MO</w:t>
      </w:r>
      <w:r w:rsidR="00A615C7">
        <w:rPr>
          <w:rFonts w:ascii="Calibri" w:hAnsi="Calibri" w:cs="Calibri"/>
        </w:rPr>
        <w:t xml:space="preserve"> písemně vyzván k podání žádosti o</w:t>
      </w:r>
      <w:r w:rsidR="00963226">
        <w:rPr>
          <w:rFonts w:ascii="Calibri" w:hAnsi="Calibri" w:cs="Calibri"/>
        </w:rPr>
        <w:t> </w:t>
      </w:r>
      <w:r w:rsidR="00A615C7">
        <w:rPr>
          <w:rFonts w:ascii="Calibri" w:hAnsi="Calibri" w:cs="Calibri"/>
        </w:rPr>
        <w:t xml:space="preserve">starobní důchod. </w:t>
      </w:r>
    </w:p>
    <w:p w:rsidR="00A97CC4" w:rsidRDefault="00A97CC4" w:rsidP="008807F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Nepožádá-li příjemce výsluhového příspěvku v případě vzniku invalidity o přiznání invalidního důchodu, výplata výsluhového příspěvku se zastaví. </w:t>
      </w:r>
    </w:p>
    <w:p w:rsidR="00E33F6E" w:rsidRDefault="00E33F6E" w:rsidP="008807F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Výsluhový příspěvek se zvyšuje stejným způsobem a ve stejných termínech jako procentní výměra důchodu z důchodového pojištění, přičemž zvýšení výsluhového příspěvku činí polovinu procentního zvýšení důchodů z důchodového pojištění.</w:t>
      </w:r>
    </w:p>
    <w:p w:rsidR="00F376FD" w:rsidRDefault="00F376FD" w:rsidP="008807F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Při opětovném povolání do služebního poměru vojáka</w:t>
      </w:r>
      <w:r w:rsidR="00FA6CA4">
        <w:rPr>
          <w:rFonts w:ascii="Calibri" w:hAnsi="Calibri" w:cs="Calibri"/>
        </w:rPr>
        <w:t xml:space="preserve"> z povolání</w:t>
      </w:r>
      <w:r>
        <w:rPr>
          <w:rFonts w:ascii="Calibri" w:hAnsi="Calibri" w:cs="Calibri"/>
        </w:rPr>
        <w:t xml:space="preserve"> nárok na výsluhový příspěvek zaniká. Při ukon</w:t>
      </w:r>
      <w:r w:rsidR="005A3FE8">
        <w:rPr>
          <w:rFonts w:ascii="Calibri" w:hAnsi="Calibri" w:cs="Calibri"/>
        </w:rPr>
        <w:t>čení tohoto služebního poměru vzniká nárok na výsluhový příspěvek a</w:t>
      </w:r>
      <w:r w:rsidR="00963226">
        <w:rPr>
          <w:rFonts w:ascii="Calibri" w:hAnsi="Calibri" w:cs="Calibri"/>
        </w:rPr>
        <w:t> </w:t>
      </w:r>
      <w:r w:rsidR="005A3FE8">
        <w:rPr>
          <w:rFonts w:ascii="Calibri" w:hAnsi="Calibri" w:cs="Calibri"/>
        </w:rPr>
        <w:t xml:space="preserve">započtena bude i doba předchozího služebního poměru. </w:t>
      </w:r>
    </w:p>
    <w:p w:rsidR="005A3FE8" w:rsidRDefault="005A3FE8" w:rsidP="008807F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Při přijetí do služebního poměru příslušníka bezpečnostních sborů se výplata výsluhového příspěvku zastaví. Při ukončení tohoto služebního poměru se porovná výše výsluhového příspěvku u OSZ </w:t>
      </w:r>
      <w:r w:rsidR="00272C20">
        <w:rPr>
          <w:rFonts w:ascii="Calibri" w:hAnsi="Calibri" w:cs="Calibri"/>
        </w:rPr>
        <w:t xml:space="preserve">MO </w:t>
      </w:r>
      <w:r>
        <w:rPr>
          <w:rFonts w:ascii="Calibri" w:hAnsi="Calibri" w:cs="Calibri"/>
        </w:rPr>
        <w:t xml:space="preserve">ke dni ukončení posledního služebního poměru (včetně všech valorizací) s výsluhovým příspěvkem u jiného bezpečnostního sboru a vyplácí se vyšší výsluhový příspěvek. </w:t>
      </w:r>
    </w:p>
    <w:p w:rsidR="00F376FD" w:rsidRDefault="00F376FD" w:rsidP="008807FB">
      <w:pPr>
        <w:jc w:val="both"/>
        <w:rPr>
          <w:rFonts w:ascii="Calibri" w:hAnsi="Calibri" w:cs="Calibri"/>
        </w:rPr>
      </w:pPr>
    </w:p>
    <w:p w:rsidR="00291D4B" w:rsidRDefault="00C336F5" w:rsidP="008807F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Výsluhový příspěvek </w:t>
      </w:r>
      <w:r w:rsidR="00291D4B">
        <w:rPr>
          <w:rFonts w:ascii="Calibri" w:hAnsi="Calibri" w:cs="Calibri"/>
        </w:rPr>
        <w:t xml:space="preserve">je vyplácen na běžný kalendářní měsíc, tj. od 1. do posledního dne v měsíci. </w:t>
      </w:r>
      <w:r w:rsidR="00871FBB">
        <w:rPr>
          <w:rFonts w:ascii="Calibri" w:hAnsi="Calibri" w:cs="Calibri"/>
        </w:rPr>
        <w:t xml:space="preserve">Výplatní termín </w:t>
      </w:r>
      <w:r>
        <w:rPr>
          <w:rFonts w:ascii="Calibri" w:hAnsi="Calibri" w:cs="Calibri"/>
        </w:rPr>
        <w:t xml:space="preserve">výsluhového příspěvku </w:t>
      </w:r>
      <w:r w:rsidR="00871FBB">
        <w:rPr>
          <w:rFonts w:ascii="Calibri" w:hAnsi="Calibri" w:cs="Calibri"/>
        </w:rPr>
        <w:t>je do 11. dne v měsíci.</w:t>
      </w:r>
    </w:p>
    <w:p w:rsidR="003849DD" w:rsidRDefault="00C336F5" w:rsidP="008807F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Příjemce výsluhového příspěvku </w:t>
      </w:r>
      <w:r w:rsidR="003849DD">
        <w:rPr>
          <w:rFonts w:ascii="Calibri" w:hAnsi="Calibri" w:cs="Calibri"/>
        </w:rPr>
        <w:t xml:space="preserve">je povinen hlásit plátci </w:t>
      </w:r>
      <w:r w:rsidR="00E93038">
        <w:rPr>
          <w:rFonts w:ascii="Calibri" w:hAnsi="Calibri" w:cs="Calibri"/>
        </w:rPr>
        <w:t>výsluhového příspěvku</w:t>
      </w:r>
      <w:r w:rsidR="003849DD">
        <w:rPr>
          <w:rFonts w:ascii="Calibri" w:hAnsi="Calibri" w:cs="Calibri"/>
        </w:rPr>
        <w:t xml:space="preserve"> (OSZ</w:t>
      </w:r>
      <w:r w:rsidR="00272C20">
        <w:rPr>
          <w:rFonts w:ascii="Calibri" w:hAnsi="Calibri" w:cs="Calibri"/>
        </w:rPr>
        <w:t xml:space="preserve"> MO</w:t>
      </w:r>
      <w:r w:rsidR="003849DD">
        <w:rPr>
          <w:rFonts w:ascii="Calibri" w:hAnsi="Calibri" w:cs="Calibri"/>
        </w:rPr>
        <w:t>) do 8 dnů veškeré skutečnosti, které mají vliv na jeho výši a výplatu, tj. změna adresy, změna čísla účtu</w:t>
      </w:r>
      <w:r w:rsidR="00E33F6E">
        <w:rPr>
          <w:rFonts w:ascii="Calibri" w:hAnsi="Calibri" w:cs="Calibri"/>
        </w:rPr>
        <w:t xml:space="preserve">, </w:t>
      </w:r>
      <w:r w:rsidR="00E33F6E" w:rsidRPr="00E33F6E">
        <w:rPr>
          <w:rFonts w:ascii="Calibri" w:hAnsi="Calibri" w:cs="Calibri"/>
          <w:b/>
        </w:rPr>
        <w:t>opětovné povolání do služebního poměru</w:t>
      </w:r>
      <w:r w:rsidR="00FA6CA4">
        <w:rPr>
          <w:rFonts w:ascii="Calibri" w:hAnsi="Calibri" w:cs="Calibri"/>
          <w:b/>
        </w:rPr>
        <w:t xml:space="preserve"> vojáka z povolání</w:t>
      </w:r>
      <w:r w:rsidR="00E33F6E" w:rsidRPr="00E33F6E">
        <w:rPr>
          <w:rFonts w:ascii="Calibri" w:hAnsi="Calibri" w:cs="Calibri"/>
          <w:b/>
        </w:rPr>
        <w:t>, přijetí do služebního poměru příslušníka bezpečnostních sborů</w:t>
      </w:r>
      <w:r w:rsidR="00A97CC4">
        <w:rPr>
          <w:rFonts w:ascii="Calibri" w:hAnsi="Calibri" w:cs="Calibri"/>
          <w:b/>
        </w:rPr>
        <w:t xml:space="preserve">, </w:t>
      </w:r>
      <w:r w:rsidR="00A97CC4" w:rsidRPr="00526D91">
        <w:rPr>
          <w:rFonts w:ascii="Calibri" w:hAnsi="Calibri" w:cs="Calibri"/>
          <w:b/>
        </w:rPr>
        <w:t>vznik invalidity</w:t>
      </w:r>
      <w:r w:rsidR="00C2263A" w:rsidRPr="00E33F6E">
        <w:rPr>
          <w:rFonts w:ascii="Calibri" w:hAnsi="Calibri" w:cs="Calibri"/>
          <w:b/>
        </w:rPr>
        <w:t xml:space="preserve"> </w:t>
      </w:r>
      <w:r w:rsidR="00C2263A">
        <w:rPr>
          <w:rFonts w:ascii="Calibri" w:hAnsi="Calibri" w:cs="Calibri"/>
        </w:rPr>
        <w:t>a jiné skutečnosti</w:t>
      </w:r>
      <w:r w:rsidR="003849DD">
        <w:rPr>
          <w:rFonts w:ascii="Calibri" w:hAnsi="Calibri" w:cs="Calibri"/>
        </w:rPr>
        <w:t xml:space="preserve">. </w:t>
      </w:r>
    </w:p>
    <w:p w:rsidR="00F446F5" w:rsidRDefault="00F446F5" w:rsidP="008807FB">
      <w:pPr>
        <w:jc w:val="both"/>
        <w:rPr>
          <w:rFonts w:ascii="Calibri" w:hAnsi="Calibri" w:cs="Calibri"/>
        </w:rPr>
      </w:pPr>
    </w:p>
    <w:p w:rsidR="006031CC" w:rsidRPr="00DD4C34" w:rsidRDefault="009F29F2" w:rsidP="00DD4C34">
      <w:pPr>
        <w:jc w:val="center"/>
        <w:rPr>
          <w:rFonts w:ascii="Calibri" w:hAnsi="Calibri" w:cs="Calibri"/>
          <w:b/>
          <w:u w:val="single"/>
        </w:rPr>
      </w:pPr>
      <w:r w:rsidRPr="00DD4C34">
        <w:rPr>
          <w:rFonts w:ascii="Calibri" w:hAnsi="Calibri" w:cs="Calibri"/>
          <w:b/>
          <w:u w:val="single"/>
        </w:rPr>
        <w:t>Odchodné</w:t>
      </w:r>
    </w:p>
    <w:p w:rsidR="009F29F2" w:rsidRDefault="009F29F2" w:rsidP="008807F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Voják, kterému vznikl nárok na výsluhový příspěvek a který nezvolil nárok na výplatu odbytného, má při </w:t>
      </w:r>
      <w:r w:rsidR="00DD4C34">
        <w:rPr>
          <w:rFonts w:ascii="Calibri" w:hAnsi="Calibri" w:cs="Calibri"/>
        </w:rPr>
        <w:t xml:space="preserve">propuštění ze služebního poměru nárok na odchodné. </w:t>
      </w:r>
    </w:p>
    <w:p w:rsidR="006031CC" w:rsidRDefault="0095302B" w:rsidP="008807F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Jestliže bylo vojákovi při předchozím ukončení služebního poměru </w:t>
      </w:r>
      <w:r w:rsidR="00456E83">
        <w:rPr>
          <w:rFonts w:ascii="Calibri" w:hAnsi="Calibri" w:cs="Calibri"/>
        </w:rPr>
        <w:t xml:space="preserve">vojáka z povolání nebo jiného služebního poměru </w:t>
      </w:r>
      <w:r>
        <w:rPr>
          <w:rFonts w:ascii="Calibri" w:hAnsi="Calibri" w:cs="Calibri"/>
        </w:rPr>
        <w:t>vyplaceno odchodné nebo</w:t>
      </w:r>
      <w:r w:rsidR="00A7106E">
        <w:rPr>
          <w:rFonts w:ascii="Calibri" w:hAnsi="Calibri" w:cs="Calibri"/>
        </w:rPr>
        <w:t xml:space="preserve"> odbytné, každé další odchodné </w:t>
      </w:r>
      <w:r>
        <w:rPr>
          <w:rFonts w:ascii="Calibri" w:hAnsi="Calibri" w:cs="Calibri"/>
        </w:rPr>
        <w:t xml:space="preserve">bude sníženo o předchozí vyplacenou částku. </w:t>
      </w:r>
      <w:r w:rsidR="00DC3FFC">
        <w:rPr>
          <w:rFonts w:ascii="Calibri" w:hAnsi="Calibri" w:cs="Calibri"/>
        </w:rPr>
        <w:t xml:space="preserve">V případě více předchozích služebních poměrů bude sníženo o všechny dříve vyplacené částky odchodného nebo odbytného. </w:t>
      </w:r>
      <w:r w:rsidR="00C254FC">
        <w:rPr>
          <w:rFonts w:ascii="Calibri" w:hAnsi="Calibri" w:cs="Calibri"/>
        </w:rPr>
        <w:t xml:space="preserve">Nedojde-li k vzájemnému zúčtování dříve vyplaceného odchodného nebo odbytného s nově náležejícím odchodným, odchodné nenáleží. </w:t>
      </w:r>
    </w:p>
    <w:p w:rsidR="006031CC" w:rsidRDefault="006031CC" w:rsidP="008807FB">
      <w:pPr>
        <w:jc w:val="both"/>
        <w:rPr>
          <w:rFonts w:ascii="Calibri" w:hAnsi="Calibri" w:cs="Calibri"/>
        </w:rPr>
      </w:pPr>
    </w:p>
    <w:p w:rsidR="006031CC" w:rsidRDefault="00C254FC" w:rsidP="00C254FC">
      <w:pPr>
        <w:jc w:val="center"/>
        <w:rPr>
          <w:rFonts w:ascii="Calibri" w:hAnsi="Calibri" w:cs="Calibri"/>
          <w:b/>
          <w:u w:val="single"/>
        </w:rPr>
      </w:pPr>
      <w:r w:rsidRPr="00C254FC">
        <w:rPr>
          <w:rFonts w:ascii="Calibri" w:hAnsi="Calibri" w:cs="Calibri"/>
          <w:b/>
          <w:u w:val="single"/>
        </w:rPr>
        <w:t>Odbytné</w:t>
      </w:r>
    </w:p>
    <w:p w:rsidR="00A818AB" w:rsidRDefault="00352B28" w:rsidP="00C254FC">
      <w:pPr>
        <w:jc w:val="both"/>
        <w:rPr>
          <w:rFonts w:ascii="Calibri" w:hAnsi="Calibri" w:cs="Calibri"/>
        </w:rPr>
      </w:pPr>
      <w:r w:rsidRPr="00284DAB">
        <w:rPr>
          <w:rFonts w:ascii="Calibri" w:hAnsi="Calibri" w:cs="Calibri"/>
        </w:rPr>
        <w:t>Voják, jehož služební poměr zanikl podle § 18 a), h) a i) nebo podle § 19 odst. 1 písm. a), b),</w:t>
      </w:r>
      <w:r w:rsidR="00D4794D">
        <w:rPr>
          <w:rFonts w:ascii="Calibri" w:hAnsi="Calibri" w:cs="Calibri"/>
        </w:rPr>
        <w:t xml:space="preserve"> </w:t>
      </w:r>
      <w:r w:rsidRPr="00284DAB">
        <w:rPr>
          <w:rFonts w:ascii="Calibri" w:hAnsi="Calibri" w:cs="Calibri"/>
        </w:rPr>
        <w:t>c),</w:t>
      </w:r>
      <w:r w:rsidR="00D4794D">
        <w:rPr>
          <w:rFonts w:ascii="Calibri" w:hAnsi="Calibri" w:cs="Calibri"/>
        </w:rPr>
        <w:t xml:space="preserve"> </w:t>
      </w:r>
      <w:r w:rsidRPr="00284DAB">
        <w:rPr>
          <w:rFonts w:ascii="Calibri" w:hAnsi="Calibri" w:cs="Calibri"/>
        </w:rPr>
        <w:t>e),</w:t>
      </w:r>
      <w:r w:rsidR="00D4794D">
        <w:rPr>
          <w:rFonts w:ascii="Calibri" w:hAnsi="Calibri" w:cs="Calibri"/>
        </w:rPr>
        <w:t xml:space="preserve"> </w:t>
      </w:r>
      <w:r w:rsidRPr="00284DAB">
        <w:rPr>
          <w:rFonts w:ascii="Calibri" w:hAnsi="Calibri" w:cs="Calibri"/>
        </w:rPr>
        <w:t xml:space="preserve">g) až l), n) a o) </w:t>
      </w:r>
      <w:r w:rsidR="00272C20">
        <w:rPr>
          <w:rFonts w:ascii="Calibri" w:hAnsi="Calibri" w:cs="Calibri"/>
        </w:rPr>
        <w:t>zákona</w:t>
      </w:r>
      <w:r>
        <w:rPr>
          <w:rFonts w:ascii="Calibri" w:hAnsi="Calibri" w:cs="Calibri"/>
        </w:rPr>
        <w:t xml:space="preserve"> č. 221/1999 Sb., anebo voják, který si při splnění stanovených podmínek pro nárok na výsluhový příspěvek nezvolil nárok na jeho výplatu, </w:t>
      </w:r>
      <w:r w:rsidRPr="00284DAB">
        <w:rPr>
          <w:rFonts w:ascii="Calibri" w:hAnsi="Calibri" w:cs="Calibri"/>
        </w:rPr>
        <w:t>má nárok na</w:t>
      </w:r>
      <w:r>
        <w:rPr>
          <w:rFonts w:ascii="Calibri" w:hAnsi="Calibri" w:cs="Calibri"/>
        </w:rPr>
        <w:t xml:space="preserve"> odbytné. Přiznáním odbytného zaniká nárok na výsluhový příspěvek. </w:t>
      </w:r>
      <w:r w:rsidR="00C254FC">
        <w:rPr>
          <w:rFonts w:ascii="Calibri" w:hAnsi="Calibri" w:cs="Calibri"/>
        </w:rPr>
        <w:t xml:space="preserve">Minimální doba trvání služebního poměru pro nárok na odbytné jsou 2 roky. </w:t>
      </w:r>
    </w:p>
    <w:p w:rsidR="00C254FC" w:rsidRDefault="00C254FC" w:rsidP="00C254FC">
      <w:pPr>
        <w:jc w:val="both"/>
        <w:rPr>
          <w:rFonts w:ascii="Calibri" w:hAnsi="Calibri" w:cs="Calibri"/>
        </w:rPr>
      </w:pPr>
    </w:p>
    <w:p w:rsidR="00C254FC" w:rsidRDefault="00C254FC" w:rsidP="00C254F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Jestliže bylo vojákovi při předchozím ukončení služebního poměru </w:t>
      </w:r>
      <w:r w:rsidR="00456E83">
        <w:rPr>
          <w:rFonts w:ascii="Calibri" w:hAnsi="Calibri" w:cs="Calibri"/>
        </w:rPr>
        <w:t xml:space="preserve">vojáka z povolání nebo jiného služebního poměru </w:t>
      </w:r>
      <w:r>
        <w:rPr>
          <w:rFonts w:ascii="Calibri" w:hAnsi="Calibri" w:cs="Calibri"/>
        </w:rPr>
        <w:t xml:space="preserve">vyplaceno odchodné nebo odbytné, každé další odbytné bude sníženo o předchozí vyplacenou částku. </w:t>
      </w:r>
      <w:r w:rsidR="00DC3FFC">
        <w:rPr>
          <w:rFonts w:ascii="Calibri" w:hAnsi="Calibri" w:cs="Calibri"/>
        </w:rPr>
        <w:t xml:space="preserve">V případě více předchozích služebních poměrů bude sníženo o všechny dříve vyplacené částky odchodného nebo odbytného. </w:t>
      </w:r>
      <w:r>
        <w:rPr>
          <w:rFonts w:ascii="Calibri" w:hAnsi="Calibri" w:cs="Calibri"/>
        </w:rPr>
        <w:t xml:space="preserve">Nedojde-li k vzájemnému zúčtování dříve vyplaceného odchodného nebo odbytného s nově náležejícím odbytným, odbytné nenáleží. </w:t>
      </w:r>
    </w:p>
    <w:p w:rsidR="00EC40D6" w:rsidRPr="00C5603A" w:rsidRDefault="00EC40D6" w:rsidP="00EC40D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Řízení o přiznání odbytného se zahajuje </w:t>
      </w:r>
      <w:r w:rsidRPr="002E4A4A">
        <w:rPr>
          <w:rFonts w:ascii="Calibri" w:hAnsi="Calibri" w:cs="Calibri"/>
          <w:b/>
        </w:rPr>
        <w:t>na základě žádosti vojáka</w:t>
      </w:r>
      <w:r>
        <w:rPr>
          <w:rFonts w:ascii="Calibri" w:hAnsi="Calibri" w:cs="Calibri"/>
        </w:rPr>
        <w:t xml:space="preserve">. O přiznání odbytného je nutné si písemně požádat na předepsaném tiskopise. Tiskopis lze nalézt na elektronické úřední desce OSZ MO </w:t>
      </w:r>
      <w:r w:rsidR="00A7106E">
        <w:rPr>
          <w:rFonts w:ascii="Calibri" w:hAnsi="Calibri" w:cs="Calibri"/>
        </w:rPr>
        <w:t>(osz.</w:t>
      </w:r>
      <w:r w:rsidR="00862753">
        <w:rPr>
          <w:rFonts w:ascii="Calibri" w:hAnsi="Calibri" w:cs="Calibri"/>
        </w:rPr>
        <w:t>mo.gov</w:t>
      </w:r>
      <w:r w:rsidR="00A7106E">
        <w:rPr>
          <w:rFonts w:ascii="Calibri" w:hAnsi="Calibri" w:cs="Calibri"/>
        </w:rPr>
        <w:t xml:space="preserve">.cz) </w:t>
      </w:r>
      <w:r>
        <w:rPr>
          <w:rFonts w:ascii="Calibri" w:hAnsi="Calibri" w:cs="Calibri"/>
        </w:rPr>
        <w:t>v sekci žádosti. V případě zániku služebního poměru podle §</w:t>
      </w:r>
      <w:r w:rsidR="00963226">
        <w:rPr>
          <w:rFonts w:ascii="Calibri" w:hAnsi="Calibri" w:cs="Calibri"/>
        </w:rPr>
        <w:t> </w:t>
      </w:r>
      <w:bookmarkStart w:id="0" w:name="_GoBack"/>
      <w:bookmarkEnd w:id="0"/>
      <w:r>
        <w:rPr>
          <w:rFonts w:ascii="Calibri" w:hAnsi="Calibri" w:cs="Calibri"/>
        </w:rPr>
        <w:t>18</w:t>
      </w:r>
      <w:r w:rsidR="00963226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a) nebo § 19 odst. 1 k) je nutné vyplnit čestné </w:t>
      </w:r>
      <w:r w:rsidR="00A5311F">
        <w:rPr>
          <w:rFonts w:ascii="Calibri" w:hAnsi="Calibri" w:cs="Calibri"/>
        </w:rPr>
        <w:t xml:space="preserve">prohlášení, že není proti vojákovi ke dni ukončení služebního poměru vedeno trestní řízení pro úmyslný trestný čin. Je-li proti vojákovi trestní řízení vedeno, zahajuje se řízení o žádosti dnem doručení dokladu o jeho pravomocném ukončení. </w:t>
      </w:r>
      <w:r w:rsidRPr="00C5603A">
        <w:rPr>
          <w:rFonts w:ascii="Calibri" w:hAnsi="Calibri" w:cs="Calibri"/>
          <w:b/>
        </w:rPr>
        <w:t xml:space="preserve">Čestné prohlášení </w:t>
      </w:r>
      <w:r w:rsidR="009B6A05">
        <w:rPr>
          <w:rFonts w:ascii="Calibri" w:hAnsi="Calibri" w:cs="Calibri"/>
          <w:b/>
        </w:rPr>
        <w:t>vyplňte</w:t>
      </w:r>
      <w:r w:rsidRPr="00C5603A">
        <w:rPr>
          <w:rFonts w:ascii="Calibri" w:hAnsi="Calibri" w:cs="Calibri"/>
          <w:b/>
        </w:rPr>
        <w:t xml:space="preserve"> nejdříve v den ukončení služebního poměru. </w:t>
      </w:r>
    </w:p>
    <w:p w:rsidR="00EC40D6" w:rsidRDefault="00EC40D6" w:rsidP="00EC40D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Žádost lze podat nejdříve 4 měsíce před požadovaným dnem přiznání </w:t>
      </w:r>
      <w:r w:rsidR="009B6A05">
        <w:rPr>
          <w:rFonts w:ascii="Calibri" w:hAnsi="Calibri" w:cs="Calibri"/>
        </w:rPr>
        <w:t xml:space="preserve">odbytného. </w:t>
      </w:r>
    </w:p>
    <w:p w:rsidR="00EC40D6" w:rsidRDefault="00EC40D6" w:rsidP="00EC40D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Žádost lze podat i zpětně, doplatek lze provést pouze 5 let zpětně od data podání žádosti. </w:t>
      </w:r>
    </w:p>
    <w:p w:rsidR="00D158FD" w:rsidRDefault="00D158FD" w:rsidP="00EC40D6">
      <w:pPr>
        <w:jc w:val="both"/>
        <w:rPr>
          <w:rFonts w:ascii="Calibri" w:hAnsi="Calibri" w:cs="Calibri"/>
        </w:rPr>
      </w:pPr>
    </w:p>
    <w:p w:rsidR="00977B5B" w:rsidRPr="00977B5B" w:rsidRDefault="00977B5B" w:rsidP="00EC40D6">
      <w:pPr>
        <w:jc w:val="both"/>
        <w:rPr>
          <w:rFonts w:ascii="Calibri" w:hAnsi="Calibri" w:cs="Calibri"/>
          <w:b/>
          <w:u w:val="single"/>
        </w:rPr>
      </w:pPr>
      <w:r w:rsidRPr="00977B5B">
        <w:rPr>
          <w:rFonts w:ascii="Calibri" w:hAnsi="Calibri" w:cs="Calibri"/>
          <w:b/>
          <w:u w:val="single"/>
        </w:rPr>
        <w:t>UPOZORNĚNÍ PRO VÝSLUHOVÝ PŘÍSPĚVEK, ODCHODNÉ, ODBYTNÉ</w:t>
      </w:r>
    </w:p>
    <w:p w:rsidR="00EC40D6" w:rsidRDefault="00D158FD" w:rsidP="00EC40D6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Při zániku služebního poměru podle § 19 odst. 1 písm. g), i) až l) a o) náleží výsluhové náležitosti v poloviční výši. </w:t>
      </w:r>
      <w:r w:rsidR="00B50BCF">
        <w:rPr>
          <w:rFonts w:ascii="Calibri" w:hAnsi="Calibri" w:cs="Calibri"/>
          <w:b/>
        </w:rPr>
        <w:t>To platí i v případě odbytného a odchodného, skončí-li služební poměr propuštěním podle § 19 odst. 1 písm. h).</w:t>
      </w:r>
      <w:r>
        <w:rPr>
          <w:rFonts w:ascii="Calibri" w:hAnsi="Calibri" w:cs="Calibri"/>
          <w:b/>
        </w:rPr>
        <w:t xml:space="preserve"> </w:t>
      </w:r>
    </w:p>
    <w:sectPr w:rsidR="00EC40D6" w:rsidSect="0076005F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355" w:rsidRDefault="00877355">
      <w:r>
        <w:separator/>
      </w:r>
    </w:p>
  </w:endnote>
  <w:endnote w:type="continuationSeparator" w:id="0">
    <w:p w:rsidR="00877355" w:rsidRDefault="0087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355" w:rsidRDefault="00877355">
      <w:r>
        <w:separator/>
      </w:r>
    </w:p>
  </w:footnote>
  <w:footnote w:type="continuationSeparator" w:id="0">
    <w:p w:rsidR="00877355" w:rsidRDefault="00877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C20" w:rsidRDefault="00272C20" w:rsidP="0076005F">
    <w:pPr>
      <w:pStyle w:val="Zhlav"/>
      <w:jc w:val="center"/>
      <w:rPr>
        <w:b/>
        <w:spacing w:val="40"/>
        <w:sz w:val="32"/>
        <w:szCs w:val="32"/>
      </w:rPr>
    </w:pPr>
    <w:r>
      <w:rPr>
        <w:b/>
        <w:spacing w:val="40"/>
        <w:sz w:val="32"/>
        <w:szCs w:val="32"/>
      </w:rPr>
      <w:t>MINISTERSTVO OBRANY ČESKÉ REPUBLIKY</w:t>
    </w:r>
  </w:p>
  <w:p w:rsidR="00272C20" w:rsidRDefault="00272C20" w:rsidP="0076005F">
    <w:pPr>
      <w:pStyle w:val="Zhlav"/>
      <w:jc w:val="center"/>
      <w:rPr>
        <w:b/>
        <w:spacing w:val="40"/>
        <w:sz w:val="28"/>
        <w:szCs w:val="28"/>
      </w:rPr>
    </w:pPr>
    <w:r>
      <w:rPr>
        <w:b/>
        <w:spacing w:val="40"/>
        <w:sz w:val="28"/>
        <w:szCs w:val="28"/>
      </w:rPr>
      <w:t>Odbor sociálního zabezpečení</w:t>
    </w:r>
  </w:p>
  <w:p w:rsidR="00272C20" w:rsidRPr="0076005F" w:rsidRDefault="00272C20" w:rsidP="0076005F">
    <w:pPr>
      <w:pStyle w:val="Zhlav"/>
      <w:pBdr>
        <w:bottom w:val="single" w:sz="4" w:space="1" w:color="auto"/>
      </w:pBdr>
      <w:jc w:val="center"/>
      <w:rPr>
        <w:b/>
        <w:spacing w:val="40"/>
        <w:sz w:val="20"/>
        <w:szCs w:val="20"/>
      </w:rPr>
    </w:pPr>
    <w:r w:rsidRPr="0076005F">
      <w:rPr>
        <w:b/>
        <w:spacing w:val="40"/>
        <w:sz w:val="20"/>
        <w:szCs w:val="20"/>
      </w:rPr>
      <w:t>Molákova 576/11, Praha 8, PSČ 186 00, datová schránka gy2erfw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602BF"/>
    <w:multiLevelType w:val="hybridMultilevel"/>
    <w:tmpl w:val="DC80D3C2"/>
    <w:lvl w:ilvl="0" w:tplc="AC8C23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53236"/>
    <w:multiLevelType w:val="hybridMultilevel"/>
    <w:tmpl w:val="5AFA91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14858"/>
    <w:multiLevelType w:val="hybridMultilevel"/>
    <w:tmpl w:val="AA58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B0E44"/>
    <w:multiLevelType w:val="hybridMultilevel"/>
    <w:tmpl w:val="DB12BC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40015"/>
    <w:multiLevelType w:val="hybridMultilevel"/>
    <w:tmpl w:val="129083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67D7A"/>
    <w:multiLevelType w:val="hybridMultilevel"/>
    <w:tmpl w:val="F43E806A"/>
    <w:lvl w:ilvl="0" w:tplc="30AC8698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E2B71"/>
    <w:multiLevelType w:val="hybridMultilevel"/>
    <w:tmpl w:val="5F80173A"/>
    <w:lvl w:ilvl="0" w:tplc="8BF48C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F485B"/>
    <w:multiLevelType w:val="hybridMultilevel"/>
    <w:tmpl w:val="2F74DEA2"/>
    <w:lvl w:ilvl="0" w:tplc="B1F6CD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6E27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6EE6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2DE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3E0D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C6D2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00C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1809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AA87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F9"/>
    <w:rsid w:val="000024BB"/>
    <w:rsid w:val="000048CD"/>
    <w:rsid w:val="0002361B"/>
    <w:rsid w:val="00025431"/>
    <w:rsid w:val="00036923"/>
    <w:rsid w:val="000441B2"/>
    <w:rsid w:val="00067E53"/>
    <w:rsid w:val="00084084"/>
    <w:rsid w:val="00093B42"/>
    <w:rsid w:val="00097ED4"/>
    <w:rsid w:val="000D4B0D"/>
    <w:rsid w:val="000F3B82"/>
    <w:rsid w:val="000F64ED"/>
    <w:rsid w:val="001061CC"/>
    <w:rsid w:val="00176BFB"/>
    <w:rsid w:val="001A6474"/>
    <w:rsid w:val="001F1E3D"/>
    <w:rsid w:val="00233E93"/>
    <w:rsid w:val="0024079F"/>
    <w:rsid w:val="00272C20"/>
    <w:rsid w:val="00276884"/>
    <w:rsid w:val="00284DAB"/>
    <w:rsid w:val="00291D4B"/>
    <w:rsid w:val="00292A35"/>
    <w:rsid w:val="002A4601"/>
    <w:rsid w:val="002A4851"/>
    <w:rsid w:val="002B7AA7"/>
    <w:rsid w:val="002D3E24"/>
    <w:rsid w:val="002E4A4A"/>
    <w:rsid w:val="002F4634"/>
    <w:rsid w:val="003018B8"/>
    <w:rsid w:val="00320BF3"/>
    <w:rsid w:val="003234F0"/>
    <w:rsid w:val="00352B28"/>
    <w:rsid w:val="00364837"/>
    <w:rsid w:val="00364EA8"/>
    <w:rsid w:val="00366C45"/>
    <w:rsid w:val="00371A8B"/>
    <w:rsid w:val="00372259"/>
    <w:rsid w:val="00372BE4"/>
    <w:rsid w:val="003849DD"/>
    <w:rsid w:val="00391D04"/>
    <w:rsid w:val="003C4C79"/>
    <w:rsid w:val="003C5EC9"/>
    <w:rsid w:val="003F4236"/>
    <w:rsid w:val="003F7DC6"/>
    <w:rsid w:val="004017A6"/>
    <w:rsid w:val="00403960"/>
    <w:rsid w:val="00410F1E"/>
    <w:rsid w:val="00417343"/>
    <w:rsid w:val="00444951"/>
    <w:rsid w:val="00445512"/>
    <w:rsid w:val="00456E83"/>
    <w:rsid w:val="004614E0"/>
    <w:rsid w:val="00472D7B"/>
    <w:rsid w:val="00482C61"/>
    <w:rsid w:val="00495285"/>
    <w:rsid w:val="004962B1"/>
    <w:rsid w:val="004B1BB2"/>
    <w:rsid w:val="004C7345"/>
    <w:rsid w:val="004F66E8"/>
    <w:rsid w:val="00520991"/>
    <w:rsid w:val="00525A66"/>
    <w:rsid w:val="00526D91"/>
    <w:rsid w:val="00535802"/>
    <w:rsid w:val="00552E00"/>
    <w:rsid w:val="00554193"/>
    <w:rsid w:val="005926F3"/>
    <w:rsid w:val="005A3C2E"/>
    <w:rsid w:val="005A3FE8"/>
    <w:rsid w:val="005B22FA"/>
    <w:rsid w:val="005C7D45"/>
    <w:rsid w:val="005D271F"/>
    <w:rsid w:val="005E2127"/>
    <w:rsid w:val="006031CC"/>
    <w:rsid w:val="006355D8"/>
    <w:rsid w:val="006361B5"/>
    <w:rsid w:val="00666763"/>
    <w:rsid w:val="00693EE7"/>
    <w:rsid w:val="00695E4E"/>
    <w:rsid w:val="006E45D3"/>
    <w:rsid w:val="00706001"/>
    <w:rsid w:val="007153E4"/>
    <w:rsid w:val="00737CB3"/>
    <w:rsid w:val="0076005F"/>
    <w:rsid w:val="00786C82"/>
    <w:rsid w:val="00791788"/>
    <w:rsid w:val="007B2AC1"/>
    <w:rsid w:val="007F4097"/>
    <w:rsid w:val="008000DD"/>
    <w:rsid w:val="00830EC7"/>
    <w:rsid w:val="0085219F"/>
    <w:rsid w:val="00855144"/>
    <w:rsid w:val="00862753"/>
    <w:rsid w:val="00871FBB"/>
    <w:rsid w:val="00873BCD"/>
    <w:rsid w:val="00877355"/>
    <w:rsid w:val="008807FB"/>
    <w:rsid w:val="008B12D8"/>
    <w:rsid w:val="008C687B"/>
    <w:rsid w:val="009161E0"/>
    <w:rsid w:val="0095082B"/>
    <w:rsid w:val="0095302B"/>
    <w:rsid w:val="00963226"/>
    <w:rsid w:val="00977B5B"/>
    <w:rsid w:val="009B4B7A"/>
    <w:rsid w:val="009B6A05"/>
    <w:rsid w:val="009E47C2"/>
    <w:rsid w:val="009F29F2"/>
    <w:rsid w:val="00A239B2"/>
    <w:rsid w:val="00A23A13"/>
    <w:rsid w:val="00A342B7"/>
    <w:rsid w:val="00A410DD"/>
    <w:rsid w:val="00A51F68"/>
    <w:rsid w:val="00A5311F"/>
    <w:rsid w:val="00A615C7"/>
    <w:rsid w:val="00A669D1"/>
    <w:rsid w:val="00A7106E"/>
    <w:rsid w:val="00A818AB"/>
    <w:rsid w:val="00A84CE9"/>
    <w:rsid w:val="00A85FB5"/>
    <w:rsid w:val="00A915F0"/>
    <w:rsid w:val="00A97CC4"/>
    <w:rsid w:val="00AA332F"/>
    <w:rsid w:val="00AB5A1A"/>
    <w:rsid w:val="00AD20BD"/>
    <w:rsid w:val="00AD7BC1"/>
    <w:rsid w:val="00AE0794"/>
    <w:rsid w:val="00B01DF9"/>
    <w:rsid w:val="00B04769"/>
    <w:rsid w:val="00B152A5"/>
    <w:rsid w:val="00B26764"/>
    <w:rsid w:val="00B45287"/>
    <w:rsid w:val="00B50BCF"/>
    <w:rsid w:val="00B51D1E"/>
    <w:rsid w:val="00B92F1E"/>
    <w:rsid w:val="00BA6537"/>
    <w:rsid w:val="00BF5641"/>
    <w:rsid w:val="00C033FB"/>
    <w:rsid w:val="00C21298"/>
    <w:rsid w:val="00C2263A"/>
    <w:rsid w:val="00C22966"/>
    <w:rsid w:val="00C254FC"/>
    <w:rsid w:val="00C336F5"/>
    <w:rsid w:val="00C5603A"/>
    <w:rsid w:val="00CA7444"/>
    <w:rsid w:val="00CC5102"/>
    <w:rsid w:val="00CE47C2"/>
    <w:rsid w:val="00D100B9"/>
    <w:rsid w:val="00D10B7D"/>
    <w:rsid w:val="00D158FD"/>
    <w:rsid w:val="00D17B43"/>
    <w:rsid w:val="00D33777"/>
    <w:rsid w:val="00D42807"/>
    <w:rsid w:val="00D4794D"/>
    <w:rsid w:val="00DB1B4E"/>
    <w:rsid w:val="00DC1B73"/>
    <w:rsid w:val="00DC3FFC"/>
    <w:rsid w:val="00DD1B54"/>
    <w:rsid w:val="00DD4C34"/>
    <w:rsid w:val="00E33F6E"/>
    <w:rsid w:val="00E40484"/>
    <w:rsid w:val="00E46CFB"/>
    <w:rsid w:val="00E87452"/>
    <w:rsid w:val="00E91667"/>
    <w:rsid w:val="00E93038"/>
    <w:rsid w:val="00EA63E6"/>
    <w:rsid w:val="00EC40D6"/>
    <w:rsid w:val="00EE5B38"/>
    <w:rsid w:val="00EF1CCC"/>
    <w:rsid w:val="00EF4438"/>
    <w:rsid w:val="00F17D9A"/>
    <w:rsid w:val="00F269E0"/>
    <w:rsid w:val="00F26F6B"/>
    <w:rsid w:val="00F34E2A"/>
    <w:rsid w:val="00F376FD"/>
    <w:rsid w:val="00F42E50"/>
    <w:rsid w:val="00F446F5"/>
    <w:rsid w:val="00F5385B"/>
    <w:rsid w:val="00F54836"/>
    <w:rsid w:val="00F63B64"/>
    <w:rsid w:val="00F678F3"/>
    <w:rsid w:val="00F7632E"/>
    <w:rsid w:val="00FA6CA4"/>
    <w:rsid w:val="00FD4509"/>
    <w:rsid w:val="00FE2A3D"/>
    <w:rsid w:val="00FE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FEF5142"/>
  <w15:chartTrackingRefBased/>
  <w15:docId w15:val="{C8E2FCEA-C308-4E1E-B7E3-9BE12598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4EA8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uiPriority w:val="99"/>
    <w:unhideWhenUsed/>
    <w:rsid w:val="00F42E5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41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419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3C5EC9"/>
    <w:pPr>
      <w:spacing w:before="100" w:beforeAutospacing="1" w:after="100" w:afterAutospacing="1"/>
    </w:pPr>
  </w:style>
  <w:style w:type="paragraph" w:styleId="Zhlav">
    <w:name w:val="header"/>
    <w:basedOn w:val="Normln"/>
    <w:rsid w:val="0076005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6005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488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3916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1487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932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Růžičková</dc:creator>
  <cp:keywords/>
  <cp:lastModifiedBy>Růžičková Dagmar - MO 7542 - ŠIS AČR</cp:lastModifiedBy>
  <cp:revision>3</cp:revision>
  <cp:lastPrinted>2024-12-10T13:29:00Z</cp:lastPrinted>
  <dcterms:created xsi:type="dcterms:W3CDTF">2024-12-18T13:23:00Z</dcterms:created>
  <dcterms:modified xsi:type="dcterms:W3CDTF">2024-12-18T13:25:00Z</dcterms:modified>
</cp:coreProperties>
</file>